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220/1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ECONOMICS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Paper 1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 hours</w:t>
      </w: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  <w:szCs w:val="26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  <w:szCs w:val="26"/>
        </w:rPr>
      </w:pPr>
      <w:r>
        <w:rPr>
          <w:rFonts w:ascii="Bell MT" w:cs="Times New Roman" w:hAnsi="Bell MT"/>
          <w:i/>
          <w:sz w:val="24"/>
        </w:rPr>
        <w:t>Uganda Advanced Certificate of Education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4"/>
          <w:szCs w:val="26"/>
        </w:rPr>
      </w:pPr>
      <w:r>
        <w:rPr>
          <w:rFonts w:ascii="Times New Roman" w:cs="Times New Roman" w:hAnsi="Times New Roman"/>
          <w:b/>
          <w:sz w:val="24"/>
          <w:szCs w:val="26"/>
        </w:rPr>
        <w:t>S.6</w:t>
      </w: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24"/>
          <w:szCs w:val="26"/>
        </w:rPr>
      </w:pPr>
      <w:r>
        <w:rPr>
          <w:rFonts w:ascii="Times New Roman" w:cs="Times New Roman" w:hAnsi="Times New Roman"/>
          <w:b/>
          <w:sz w:val="24"/>
          <w:szCs w:val="26"/>
        </w:rPr>
        <w:t>ECONOMICS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sz w:val="24"/>
          <w:szCs w:val="26"/>
        </w:rPr>
      </w:pPr>
      <w:r>
        <w:rPr>
          <w:rFonts w:ascii="Times New Roman" w:cs="Times New Roman" w:hAnsi="Times New Roman"/>
          <w:sz w:val="24"/>
          <w:szCs w:val="26"/>
        </w:rPr>
        <w:t>Paper 1</w:t>
      </w:r>
      <w:bookmarkStart w:id="0" w:name="_GoBack"/>
      <w:bookmarkEnd w:id="0"/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3</w:t>
      </w:r>
      <w:r>
        <w:rPr>
          <w:rFonts w:ascii="Times New Roman" w:cs="Times New Roman" w:hAnsi="Times New Roman"/>
          <w:b/>
          <w:sz w:val="24"/>
          <w:szCs w:val="24"/>
        </w:rPr>
        <w:t xml:space="preserve"> Hours 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INSTRUCTIONS TO CANDIDATES</w:t>
      </w:r>
    </w:p>
    <w:p>
      <w:pPr>
        <w:pStyle w:val="style157"/>
        <w:spacing w:lineRule="auto" w:line="360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i/>
        </w:rPr>
        <w:t xml:space="preserve">Attempt </w:t>
      </w:r>
      <w:r>
        <w:rPr>
          <w:rFonts w:ascii="Tmes" w:hAnsi="Tmes"/>
          <w:b/>
        </w:rPr>
        <w:t>five</w:t>
      </w:r>
      <w:r>
        <w:rPr>
          <w:rFonts w:ascii="Tmes" w:hAnsi="Tmes"/>
          <w:i/>
        </w:rPr>
        <w:t xml:space="preserve"> questions in all.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i/>
        </w:rPr>
        <w:t xml:space="preserve">Section </w:t>
      </w:r>
      <w:r>
        <w:rPr>
          <w:rFonts w:ascii="Tmes" w:hAnsi="Tmes"/>
          <w:b/>
        </w:rPr>
        <w:t>A</w:t>
      </w:r>
      <w:r>
        <w:rPr>
          <w:rFonts w:ascii="Tmes" w:hAnsi="Tmes"/>
          <w:i/>
        </w:rPr>
        <w:t xml:space="preserve"> is compulsory. Answers to this section should be concise.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i/>
        </w:rPr>
        <w:t xml:space="preserve">Attempt </w:t>
      </w:r>
      <w:r>
        <w:rPr>
          <w:rFonts w:ascii="Tmes" w:hAnsi="Tmes"/>
          <w:b/>
        </w:rPr>
        <w:t>four</w:t>
      </w:r>
      <w:r>
        <w:rPr>
          <w:rFonts w:ascii="Tmes" w:hAnsi="Tmes"/>
          <w:i/>
        </w:rPr>
        <w:t xml:space="preserve"> questions from section </w:t>
      </w:r>
      <w:r>
        <w:rPr>
          <w:rFonts w:ascii="Tmes" w:hAnsi="Tmes"/>
          <w:b/>
        </w:rPr>
        <w:t>B</w:t>
      </w:r>
      <w:r>
        <w:rPr>
          <w:rFonts w:ascii="Tmes" w:hAnsi="Tmes"/>
          <w:i/>
        </w:rPr>
        <w:t>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i/>
        </w:rPr>
        <w:t>Credit will be give to use of use of relevant illustration and diagrams.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b/>
        </w:rPr>
        <w:t>All</w:t>
      </w:r>
      <w:r>
        <w:rPr>
          <w:rFonts w:ascii="Tmes" w:hAnsi="Tmes"/>
          <w:i/>
        </w:rPr>
        <w:t xml:space="preserve"> questions carry equal marks.</w:t>
      </w:r>
    </w:p>
    <w:p>
      <w:pPr>
        <w:pStyle w:val="style0"/>
        <w:spacing w:after="160" w:lineRule="auto" w:line="256"/>
        <w:rPr>
          <w:rFonts w:ascii="Times New Roman" w:cs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i/>
          <w:sz w:val="24"/>
          <w:szCs w:val="24"/>
          <w:u w:val="single"/>
        </w:rPr>
        <w:br w:type="page"/>
      </w:r>
    </w:p>
    <w:p>
      <w:pPr>
        <w:pStyle w:val="style157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SECTION 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(20 Marks)</w:t>
      </w: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1.a</w:t>
      </w:r>
      <w:r>
        <w:rPr>
          <w:rFonts w:ascii="Century Gothic" w:hAnsi="Century Gothic"/>
          <w:sz w:val="20"/>
          <w:szCs w:val="20"/>
        </w:rPr>
        <w:t>)(i)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>tate</w:t>
      </w:r>
      <w:r>
        <w:rPr>
          <w:rFonts w:ascii="Century Gothic" w:hAnsi="Century Gothic"/>
          <w:sz w:val="20"/>
          <w:szCs w:val="20"/>
        </w:rPr>
        <w:t xml:space="preserve"> the </w:t>
      </w:r>
      <w:r>
        <w:rPr>
          <w:rFonts w:ascii="Century Gothic" w:hAnsi="Century Gothic"/>
          <w:b/>
          <w:sz w:val="20"/>
          <w:szCs w:val="20"/>
        </w:rPr>
        <w:t xml:space="preserve">law of </w:t>
      </w:r>
      <w:r>
        <w:rPr>
          <w:rFonts w:ascii="Century Gothic" w:hAnsi="Century Gothic"/>
          <w:b/>
          <w:sz w:val="20"/>
          <w:szCs w:val="20"/>
        </w:rPr>
        <w:t>diminishing</w:t>
      </w:r>
      <w:r>
        <w:rPr>
          <w:rFonts w:ascii="Century Gothic" w:hAnsi="Century Gothic"/>
          <w:b/>
          <w:sz w:val="20"/>
          <w:szCs w:val="20"/>
        </w:rPr>
        <w:t xml:space="preserve"> marginal utility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(01 mark)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Mention</w:t>
      </w:r>
      <w:r>
        <w:rPr>
          <w:rFonts w:ascii="Century Gothic" w:hAnsi="Century Gothic"/>
          <w:sz w:val="20"/>
          <w:szCs w:val="20"/>
        </w:rPr>
        <w:t xml:space="preserve"> three </w:t>
      </w:r>
      <w:r>
        <w:rPr>
          <w:rFonts w:ascii="Century Gothic" w:hAnsi="Century Gothic"/>
          <w:sz w:val="20"/>
          <w:szCs w:val="20"/>
        </w:rPr>
        <w:t>assumptions of the law of diminish</w:t>
      </w:r>
      <w:r>
        <w:rPr>
          <w:rFonts w:ascii="Century Gothic" w:hAnsi="Century Gothic"/>
          <w:sz w:val="20"/>
          <w:szCs w:val="20"/>
        </w:rPr>
        <w:t xml:space="preserve">ing marginal </w:t>
      </w:r>
      <w:r>
        <w:rPr>
          <w:rFonts w:ascii="Century Gothic" w:hAnsi="Century Gothic"/>
          <w:sz w:val="20"/>
          <w:szCs w:val="20"/>
        </w:rPr>
        <w:t>utility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(03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>
        <w:rPr>
          <w:rFonts w:ascii="Century Gothic" w:hAnsi="Century Gothic"/>
          <w:sz w:val="20"/>
          <w:szCs w:val="20"/>
        </w:rPr>
        <w:t>.)(i)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istinguish between </w:t>
      </w:r>
      <w:r>
        <w:rPr>
          <w:rFonts w:ascii="Century Gothic" w:hAnsi="Century Gothic"/>
          <w:b/>
          <w:sz w:val="20"/>
          <w:szCs w:val="20"/>
        </w:rPr>
        <w:t>geographical mobility o</w:t>
      </w:r>
      <w:r>
        <w:rPr>
          <w:rFonts w:ascii="Century Gothic" w:hAnsi="Century Gothic"/>
          <w:b/>
          <w:sz w:val="20"/>
          <w:szCs w:val="20"/>
        </w:rPr>
        <w:t>f capital</w:t>
      </w:r>
      <w:r>
        <w:rPr>
          <w:rFonts w:ascii="Century Gothic" w:hAnsi="Century Gothic"/>
          <w:sz w:val="20"/>
          <w:szCs w:val="20"/>
        </w:rPr>
        <w:t xml:space="preserve"> and </w:t>
      </w:r>
      <w:r>
        <w:rPr>
          <w:rFonts w:ascii="Century Gothic" w:hAnsi="Century Gothic"/>
          <w:b/>
          <w:sz w:val="20"/>
          <w:szCs w:val="20"/>
        </w:rPr>
        <w:t>productivity of capital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ind w:left="7200"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State</w:t>
      </w:r>
      <w:r>
        <w:rPr>
          <w:rFonts w:ascii="Century Gothic" w:hAnsi="Century Gothic"/>
          <w:sz w:val="20"/>
          <w:szCs w:val="20"/>
        </w:rPr>
        <w:t xml:space="preserve"> two causes </w:t>
      </w:r>
      <w:r>
        <w:rPr>
          <w:rFonts w:ascii="Century Gothic" w:hAnsi="Century Gothic"/>
          <w:sz w:val="20"/>
          <w:szCs w:val="20"/>
        </w:rPr>
        <w:t>of geographical immobility of capital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Mention</w:t>
      </w:r>
      <w:r>
        <w:rPr>
          <w:rFonts w:ascii="Century Gothic" w:hAnsi="Century Gothic"/>
          <w:sz w:val="20"/>
          <w:szCs w:val="20"/>
        </w:rPr>
        <w:t xml:space="preserve"> four </w:t>
      </w:r>
      <w:r>
        <w:rPr>
          <w:rFonts w:ascii="Century Gothic" w:hAnsi="Century Gothic"/>
          <w:sz w:val="20"/>
          <w:szCs w:val="20"/>
        </w:rPr>
        <w:t>determinan</w:t>
      </w:r>
      <w:r>
        <w:rPr>
          <w:rFonts w:ascii="Century Gothic" w:hAnsi="Century Gothic"/>
          <w:sz w:val="20"/>
          <w:szCs w:val="20"/>
        </w:rPr>
        <w:t>ts</w:t>
      </w:r>
      <w:r>
        <w:rPr>
          <w:rFonts w:ascii="Century Gothic" w:hAnsi="Century Gothic"/>
          <w:sz w:val="20"/>
          <w:szCs w:val="20"/>
        </w:rPr>
        <w:t xml:space="preserve"> of welfare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in</w:t>
      </w:r>
      <w:r>
        <w:rPr>
          <w:rFonts w:ascii="Century Gothic" w:hAnsi="Century Gothic"/>
          <w:sz w:val="20"/>
          <w:szCs w:val="20"/>
        </w:rPr>
        <w:t xml:space="preserve"> a market economy.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(04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>
        <w:rPr>
          <w:rFonts w:ascii="Century Gothic" w:hAnsi="Century Gothic"/>
          <w:sz w:val="20"/>
          <w:szCs w:val="20"/>
        </w:rPr>
        <w:t>.)(i)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Distinguish</w:t>
      </w:r>
      <w:r>
        <w:rPr>
          <w:rFonts w:ascii="Century Gothic" w:hAnsi="Century Gothic"/>
          <w:sz w:val="20"/>
          <w:szCs w:val="20"/>
        </w:rPr>
        <w:t xml:space="preserve"> between </w:t>
      </w:r>
      <w:r>
        <w:rPr>
          <w:rFonts w:ascii="Century Gothic" w:hAnsi="Century Gothic"/>
          <w:b/>
          <w:sz w:val="20"/>
          <w:szCs w:val="20"/>
        </w:rPr>
        <w:t>cyclical</w:t>
      </w:r>
      <w:r>
        <w:rPr>
          <w:rFonts w:ascii="Century Gothic" w:hAnsi="Century Gothic"/>
          <w:sz w:val="20"/>
          <w:szCs w:val="20"/>
        </w:rPr>
        <w:t xml:space="preserve"> an</w:t>
      </w:r>
      <w:r>
        <w:rPr>
          <w:rFonts w:ascii="Century Gothic" w:hAnsi="Century Gothic"/>
          <w:sz w:val="20"/>
          <w:szCs w:val="20"/>
        </w:rPr>
        <w:t xml:space="preserve">d </w:t>
      </w:r>
      <w:r>
        <w:rPr>
          <w:rFonts w:ascii="Century Gothic" w:hAnsi="Century Gothic"/>
          <w:b/>
          <w:sz w:val="20"/>
          <w:szCs w:val="20"/>
        </w:rPr>
        <w:t>frictional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unemp</w:t>
      </w:r>
      <w:r>
        <w:rPr>
          <w:rFonts w:ascii="Century Gothic" w:hAnsi="Century Gothic"/>
          <w:b/>
          <w:sz w:val="20"/>
          <w:szCs w:val="20"/>
        </w:rPr>
        <w:t>loyment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Give</w:t>
      </w:r>
      <w:r>
        <w:rPr>
          <w:rFonts w:ascii="Century Gothic" w:hAnsi="Century Gothic"/>
          <w:sz w:val="20"/>
          <w:szCs w:val="20"/>
        </w:rPr>
        <w:t xml:space="preserve"> two solutions to cyclica</w:t>
      </w:r>
      <w:r>
        <w:rPr>
          <w:rFonts w:ascii="Century Gothic" w:hAnsi="Century Gothic"/>
          <w:sz w:val="20"/>
          <w:szCs w:val="20"/>
        </w:rPr>
        <w:t>l unemployment in an economy.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(02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.)(i)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Distinguish</w:t>
      </w:r>
      <w:r>
        <w:rPr>
          <w:rFonts w:ascii="Century Gothic" w:hAnsi="Century Gothic"/>
          <w:sz w:val="20"/>
          <w:szCs w:val="20"/>
        </w:rPr>
        <w:t xml:space="preserve"> between </w:t>
      </w:r>
      <w:r>
        <w:rPr>
          <w:rFonts w:ascii="Century Gothic" w:hAnsi="Century Gothic"/>
          <w:b/>
          <w:sz w:val="20"/>
          <w:szCs w:val="20"/>
        </w:rPr>
        <w:t>price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wage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inflation</w:t>
      </w:r>
      <w:r>
        <w:rPr>
          <w:rFonts w:ascii="Century Gothic" w:hAnsi="Century Gothic"/>
          <w:sz w:val="20"/>
          <w:szCs w:val="20"/>
        </w:rPr>
        <w:t xml:space="preserve"> and </w:t>
      </w:r>
      <w:r>
        <w:rPr>
          <w:rFonts w:ascii="Century Gothic" w:hAnsi="Century Gothic"/>
          <w:b/>
          <w:sz w:val="20"/>
          <w:szCs w:val="20"/>
        </w:rPr>
        <w:t>demand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pull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inflation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(02 marks)</w:t>
      </w: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Suggest</w:t>
      </w:r>
      <w:r>
        <w:rPr>
          <w:rFonts w:ascii="Century Gothic" w:hAnsi="Century Gothic"/>
          <w:sz w:val="20"/>
          <w:szCs w:val="20"/>
        </w:rPr>
        <w:t xml:space="preserve"> two measure</w:t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that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should be taken to fight price - </w:t>
      </w:r>
      <w:r>
        <w:rPr>
          <w:rFonts w:ascii="Century Gothic" w:hAnsi="Century Gothic"/>
          <w:sz w:val="20"/>
          <w:szCs w:val="20"/>
        </w:rPr>
        <w:t xml:space="preserve">wage inflation in </w:t>
      </w:r>
      <w:r>
        <w:rPr>
          <w:rFonts w:ascii="Century Gothic" w:hAnsi="Century Gothic"/>
          <w:sz w:val="20"/>
          <w:szCs w:val="20"/>
        </w:rPr>
        <w:t>developing</w:t>
      </w:r>
      <w:r>
        <w:rPr>
          <w:rFonts w:ascii="Century Gothic" w:hAnsi="Century Gothic"/>
          <w:sz w:val="20"/>
          <w:szCs w:val="20"/>
        </w:rPr>
        <w:t xml:space="preserve"> countries.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SECTION B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(80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hy is it necessary to </w:t>
      </w:r>
      <w:r>
        <w:rPr>
          <w:rFonts w:ascii="Century Gothic" w:hAnsi="Century Gothic"/>
          <w:sz w:val="20"/>
          <w:szCs w:val="20"/>
        </w:rPr>
        <w:t>interfere</w:t>
      </w:r>
      <w:r>
        <w:rPr>
          <w:rFonts w:ascii="Century Gothic" w:hAnsi="Century Gothic"/>
          <w:sz w:val="20"/>
          <w:szCs w:val="20"/>
        </w:rPr>
        <w:t xml:space="preserve"> with </w:t>
      </w:r>
      <w:r>
        <w:rPr>
          <w:rFonts w:ascii="Century Gothic" w:hAnsi="Century Gothic"/>
          <w:b/>
          <w:sz w:val="20"/>
          <w:szCs w:val="20"/>
        </w:rPr>
        <w:t>price mechanism</w:t>
      </w:r>
      <w:r>
        <w:rPr>
          <w:rFonts w:ascii="Century Gothic" w:hAnsi="Century Gothic"/>
          <w:sz w:val="20"/>
          <w:szCs w:val="20"/>
        </w:rPr>
        <w:t>?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xamine the steps that may be taken to alleviate the defects of the price mechanism in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developing countries.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(10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xplain</w:t>
      </w:r>
      <w:r>
        <w:rPr>
          <w:rFonts w:ascii="Century Gothic" w:hAnsi="Century Gothic"/>
          <w:sz w:val="20"/>
          <w:szCs w:val="20"/>
        </w:rPr>
        <w:t xml:space="preserve"> the basis of monopoly power in an economy.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how is </w:t>
      </w:r>
      <w:r>
        <w:rPr>
          <w:rFonts w:ascii="Century Gothic" w:hAnsi="Century Gothic"/>
          <w:sz w:val="20"/>
          <w:szCs w:val="20"/>
        </w:rPr>
        <w:t>monop</w:t>
      </w:r>
      <w:r>
        <w:rPr>
          <w:rFonts w:ascii="Century Gothic" w:hAnsi="Century Gothic"/>
          <w:sz w:val="20"/>
          <w:szCs w:val="20"/>
        </w:rPr>
        <w:t>o</w:t>
      </w:r>
      <w:r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y power</w:t>
      </w:r>
      <w:r>
        <w:rPr>
          <w:rFonts w:ascii="Century Gothic" w:hAnsi="Century Gothic"/>
          <w:sz w:val="20"/>
          <w:szCs w:val="20"/>
        </w:rPr>
        <w:t xml:space="preserve"> checked in an economy?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(10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tudy the table below showing prices </w:t>
      </w:r>
      <w:r>
        <w:rPr>
          <w:rFonts w:ascii="Century Gothic" w:hAnsi="Century Gothic"/>
          <w:sz w:val="20"/>
          <w:szCs w:val="20"/>
        </w:rPr>
        <w:t>of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selected</w:t>
      </w:r>
      <w:r>
        <w:rPr>
          <w:rFonts w:ascii="Century Gothic" w:hAnsi="Century Gothic"/>
          <w:sz w:val="20"/>
          <w:szCs w:val="20"/>
        </w:rPr>
        <w:t xml:space="preserve"> goods in the year 2008 and 2012 and answer the questions that </w:t>
      </w:r>
      <w:r>
        <w:rPr>
          <w:rFonts w:ascii="Century Gothic" w:hAnsi="Century Gothic"/>
          <w:sz w:val="20"/>
          <w:szCs w:val="20"/>
        </w:rPr>
        <w:t>follow</w:t>
      </w:r>
      <w:r>
        <w:rPr>
          <w:rFonts w:ascii="Century Gothic" w:hAnsi="Century Gothic"/>
          <w:sz w:val="20"/>
          <w:szCs w:val="20"/>
        </w:rPr>
        <w:t>:-</w:t>
      </w:r>
    </w:p>
    <w:tbl>
      <w:tblPr>
        <w:tblStyle w:val="style154"/>
        <w:tblW w:w="9682" w:type="dxa"/>
        <w:tblLook w:val="04A0" w:firstRow="1" w:lastRow="0" w:firstColumn="1" w:lastColumn="0" w:noHBand="0" w:noVBand="1"/>
      </w:tblPr>
      <w:tblGrid>
        <w:gridCol w:w="1383"/>
        <w:gridCol w:w="2002"/>
        <w:gridCol w:w="1456"/>
        <w:gridCol w:w="1820"/>
        <w:gridCol w:w="1729"/>
        <w:gridCol w:w="1292"/>
      </w:tblGrid>
      <w:tr>
        <w:trPr>
          <w:trHeight w:val="562" w:hRule="atLeast"/>
        </w:trPr>
        <w:tc>
          <w:tcPr>
            <w:tcW w:w="1383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Commodity</w:t>
            </w:r>
          </w:p>
        </w:tc>
        <w:tc>
          <w:tcPr>
            <w:tcW w:w="2002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Average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price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in 2008(Shs)</w:t>
            </w:r>
          </w:p>
        </w:tc>
        <w:tc>
          <w:tcPr>
            <w:tcW w:w="1456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Simple index  2012</w:t>
            </w:r>
          </w:p>
        </w:tc>
        <w:tc>
          <w:tcPr>
            <w:tcW w:w="1820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Average price in 2012 (Shs)</w:t>
            </w:r>
          </w:p>
        </w:tc>
        <w:tc>
          <w:tcPr>
            <w:tcW w:w="1729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Simple index 2008</w:t>
            </w:r>
          </w:p>
        </w:tc>
        <w:tc>
          <w:tcPr>
            <w:tcW w:w="1292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Weight</w:t>
            </w:r>
          </w:p>
        </w:tc>
      </w:tr>
      <w:tr>
        <w:tblPrEx/>
        <w:trPr>
          <w:trHeight w:val="272" w:hRule="atLeast"/>
        </w:trPr>
        <w:tc>
          <w:tcPr>
            <w:tcW w:w="1383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</w:t>
            </w:r>
          </w:p>
        </w:tc>
        <w:tc>
          <w:tcPr>
            <w:tcW w:w="2002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1800</w:t>
            </w:r>
          </w:p>
        </w:tc>
        <w:tc>
          <w:tcPr>
            <w:tcW w:w="1456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1820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____________</w:t>
            </w:r>
          </w:p>
        </w:tc>
        <w:tc>
          <w:tcPr>
            <w:tcW w:w="1729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120</w:t>
            </w:r>
          </w:p>
        </w:tc>
        <w:tc>
          <w:tcPr>
            <w:tcW w:w="1292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>
        <w:tblPrEx/>
        <w:trPr>
          <w:trHeight w:val="272" w:hRule="atLeast"/>
        </w:trPr>
        <w:tc>
          <w:tcPr>
            <w:tcW w:w="1383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</w:t>
            </w:r>
          </w:p>
        </w:tc>
        <w:tc>
          <w:tcPr>
            <w:tcW w:w="2002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1500</w:t>
            </w:r>
          </w:p>
        </w:tc>
        <w:tc>
          <w:tcPr>
            <w:tcW w:w="1456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1820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</w:t>
            </w:r>
          </w:p>
        </w:tc>
        <w:tc>
          <w:tcPr>
            <w:tcW w:w="1729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125</w:t>
            </w:r>
          </w:p>
        </w:tc>
        <w:tc>
          <w:tcPr>
            <w:tcW w:w="1292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>
        <w:tblPrEx/>
        <w:trPr>
          <w:trHeight w:val="272" w:hRule="atLeast"/>
        </w:trPr>
        <w:tc>
          <w:tcPr>
            <w:tcW w:w="1383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</w:t>
            </w:r>
          </w:p>
        </w:tc>
        <w:tc>
          <w:tcPr>
            <w:tcW w:w="2002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975</w:t>
            </w:r>
          </w:p>
        </w:tc>
        <w:tc>
          <w:tcPr>
            <w:tcW w:w="1456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1820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600</w:t>
            </w:r>
          </w:p>
        </w:tc>
        <w:tc>
          <w:tcPr>
            <w:tcW w:w="1729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</w:t>
            </w:r>
          </w:p>
        </w:tc>
        <w:tc>
          <w:tcPr>
            <w:tcW w:w="1292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>
        <w:tblPrEx/>
        <w:trPr>
          <w:trHeight w:val="315" w:hRule="atLeast"/>
        </w:trPr>
        <w:tc>
          <w:tcPr>
            <w:tcW w:w="1383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</w:t>
            </w:r>
          </w:p>
        </w:tc>
        <w:tc>
          <w:tcPr>
            <w:tcW w:w="2002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1350</w:t>
            </w:r>
          </w:p>
        </w:tc>
        <w:tc>
          <w:tcPr>
            <w:tcW w:w="1456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1820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1125</w:t>
            </w:r>
          </w:p>
        </w:tc>
        <w:tc>
          <w:tcPr>
            <w:tcW w:w="1729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</w:t>
            </w:r>
          </w:p>
        </w:tc>
        <w:tc>
          <w:tcPr>
            <w:tcW w:w="1292" w:type="dxa"/>
            <w:tcBorders/>
          </w:tcPr>
          <w:p>
            <w:pPr>
              <w:pStyle w:val="style157"/>
              <w:spacing w:lineRule="auto" w:line="276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</w:tbl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</w:t>
      </w:r>
      <w:r>
        <w:rPr>
          <w:rFonts w:ascii="Century Gothic" w:hAnsi="Century Gothic"/>
          <w:sz w:val="20"/>
          <w:szCs w:val="20"/>
        </w:rPr>
        <w:t>alculate;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the</w:t>
      </w:r>
      <w:r>
        <w:rPr>
          <w:rFonts w:ascii="Century Gothic" w:hAnsi="Century Gothic"/>
          <w:sz w:val="20"/>
          <w:szCs w:val="20"/>
        </w:rPr>
        <w:t xml:space="preserve"> average </w:t>
      </w:r>
      <w:r>
        <w:rPr>
          <w:rFonts w:ascii="Century Gothic" w:hAnsi="Century Gothic"/>
          <w:sz w:val="20"/>
          <w:szCs w:val="20"/>
        </w:rPr>
        <w:t>price</w:t>
      </w:r>
      <w:r>
        <w:rPr>
          <w:rFonts w:ascii="Century Gothic" w:hAnsi="Century Gothic"/>
          <w:sz w:val="20"/>
          <w:szCs w:val="20"/>
        </w:rPr>
        <w:t xml:space="preserve"> for </w:t>
      </w:r>
      <w:r>
        <w:rPr>
          <w:rFonts w:ascii="Century Gothic" w:hAnsi="Century Gothic"/>
          <w:sz w:val="20"/>
          <w:szCs w:val="20"/>
        </w:rPr>
        <w:t>commodities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and </w:t>
      </w:r>
      <w:r>
        <w:rPr>
          <w:rFonts w:ascii="Century Gothic" w:hAnsi="Century Gothic"/>
          <w:b/>
          <w:sz w:val="20"/>
          <w:szCs w:val="20"/>
        </w:rPr>
        <w:t>B</w:t>
      </w:r>
      <w:r>
        <w:rPr>
          <w:rFonts w:ascii="Century Gothic" w:hAnsi="Century Gothic"/>
          <w:sz w:val="20"/>
          <w:szCs w:val="20"/>
        </w:rPr>
        <w:t xml:space="preserve"> in 2012.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(02 marks)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simple</w:t>
      </w:r>
      <w:r>
        <w:rPr>
          <w:rFonts w:ascii="Century Gothic" w:hAnsi="Century Gothic"/>
          <w:sz w:val="20"/>
          <w:szCs w:val="20"/>
        </w:rPr>
        <w:t xml:space="preserve"> price index </w:t>
      </w:r>
      <w:r>
        <w:rPr>
          <w:rFonts w:ascii="Century Gothic" w:hAnsi="Century Gothic"/>
          <w:sz w:val="20"/>
          <w:szCs w:val="20"/>
        </w:rPr>
        <w:t>for</w:t>
      </w:r>
      <w:r>
        <w:rPr>
          <w:rFonts w:ascii="Century Gothic" w:hAnsi="Century Gothic"/>
          <w:sz w:val="20"/>
          <w:szCs w:val="20"/>
        </w:rPr>
        <w:t xml:space="preserve"> commodities </w:t>
      </w:r>
      <w:r>
        <w:rPr>
          <w:rFonts w:ascii="Century Gothic" w:hAnsi="Century Gothic"/>
          <w:b/>
          <w:sz w:val="20"/>
          <w:szCs w:val="20"/>
        </w:rPr>
        <w:t>C</w:t>
      </w:r>
      <w:r>
        <w:rPr>
          <w:rFonts w:ascii="Century Gothic" w:hAnsi="Century Gothic"/>
          <w:sz w:val="20"/>
          <w:szCs w:val="20"/>
        </w:rPr>
        <w:t xml:space="preserve"> and </w:t>
      </w:r>
      <w:r>
        <w:rPr>
          <w:rFonts w:ascii="Century Gothic" w:hAnsi="Century Gothic"/>
          <w:b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 in 2008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(02 marks)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(iii)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consumer</w:t>
      </w:r>
      <w:r>
        <w:rPr>
          <w:rFonts w:ascii="Century Gothic" w:hAnsi="Century Gothic"/>
          <w:sz w:val="20"/>
          <w:szCs w:val="20"/>
        </w:rPr>
        <w:t xml:space="preserve"> price index for 2008.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(iv)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the</w:t>
      </w:r>
      <w:r>
        <w:rPr>
          <w:rFonts w:ascii="Century Gothic" w:hAnsi="Century Gothic"/>
          <w:sz w:val="20"/>
          <w:szCs w:val="20"/>
        </w:rPr>
        <w:t xml:space="preserve"> average weighted index for the current year.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(02 </w:t>
      </w:r>
      <w:r>
        <w:rPr>
          <w:rFonts w:ascii="Century Gothic" w:hAnsi="Century Gothic"/>
          <w:sz w:val="20"/>
          <w:szCs w:val="20"/>
        </w:rPr>
        <w:t>marks</w:t>
      </w:r>
      <w:r>
        <w:rPr>
          <w:rFonts w:ascii="Century Gothic" w:hAnsi="Century Gothic"/>
          <w:sz w:val="20"/>
          <w:szCs w:val="20"/>
        </w:rPr>
        <w:t>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hy are price </w:t>
      </w:r>
      <w:r>
        <w:rPr>
          <w:rFonts w:ascii="Century Gothic" w:hAnsi="Century Gothic"/>
          <w:sz w:val="20"/>
          <w:szCs w:val="20"/>
        </w:rPr>
        <w:t>indices</w:t>
      </w:r>
      <w:r>
        <w:rPr>
          <w:rFonts w:ascii="Century Gothic" w:hAnsi="Century Gothic"/>
          <w:sz w:val="20"/>
          <w:szCs w:val="20"/>
        </w:rPr>
        <w:t xml:space="preserve"> unreliable indicators of the cost of living in an economy?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spacing w:lineRule="auto" w:line="276"/>
        <w:ind w:left="7200"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(12 marks)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escribe the </w:t>
      </w:r>
      <w:r>
        <w:rPr>
          <w:rFonts w:ascii="Century Gothic" w:hAnsi="Century Gothic"/>
          <w:b/>
          <w:sz w:val="20"/>
          <w:szCs w:val="20"/>
        </w:rPr>
        <w:t xml:space="preserve">structure of the agriculture </w:t>
      </w:r>
      <w:r>
        <w:rPr>
          <w:rFonts w:ascii="Century Gothic" w:hAnsi="Century Gothic"/>
          <w:b/>
          <w:sz w:val="20"/>
          <w:szCs w:val="20"/>
        </w:rPr>
        <w:t>sector</w:t>
      </w:r>
      <w:r>
        <w:rPr>
          <w:rFonts w:ascii="Century Gothic" w:hAnsi="Century Gothic"/>
          <w:sz w:val="20"/>
          <w:szCs w:val="20"/>
        </w:rPr>
        <w:t xml:space="preserve"> in the </w:t>
      </w:r>
      <w:r>
        <w:rPr>
          <w:rFonts w:ascii="Century Gothic" w:hAnsi="Century Gothic"/>
          <w:sz w:val="20"/>
          <w:szCs w:val="20"/>
        </w:rPr>
        <w:t>developing economies.</w:t>
      </w:r>
      <w:r>
        <w:rPr>
          <w:rFonts w:ascii="Century Gothic" w:hAnsi="Century Gothic"/>
          <w:sz w:val="20"/>
          <w:szCs w:val="20"/>
        </w:rPr>
        <w:t>(08 marks)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xamine the implications of the structure of the agriculture sector in the developing </w:t>
      </w:r>
      <w:r>
        <w:rPr>
          <w:rFonts w:ascii="Century Gothic" w:hAnsi="Century Gothic"/>
          <w:sz w:val="20"/>
          <w:szCs w:val="20"/>
        </w:rPr>
        <w:t>countries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 xml:space="preserve">(12 </w:t>
      </w:r>
      <w:r>
        <w:rPr>
          <w:rFonts w:ascii="Century Gothic" w:hAnsi="Century Gothic"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>arks)</w:t>
      </w:r>
    </w:p>
    <w:p>
      <w:pPr>
        <w:pStyle w:val="style157"/>
        <w:spacing w:lineRule="auto" w:line="276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istinguish between </w:t>
      </w:r>
      <w:r>
        <w:rPr>
          <w:rFonts w:ascii="Century Gothic" w:hAnsi="Century Gothic"/>
          <w:b/>
          <w:sz w:val="20"/>
          <w:szCs w:val="20"/>
        </w:rPr>
        <w:t>direct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foreign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investment</w:t>
      </w:r>
      <w:r>
        <w:rPr>
          <w:rFonts w:ascii="Century Gothic" w:hAnsi="Century Gothic"/>
          <w:sz w:val="20"/>
          <w:szCs w:val="20"/>
        </w:rPr>
        <w:t xml:space="preserve"> an</w:t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private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foreign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investment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ind w:left="7200"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(04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xplain the contribution of direct foreign </w:t>
      </w:r>
      <w:r>
        <w:rPr>
          <w:rFonts w:ascii="Century Gothic" w:hAnsi="Century Gothic"/>
          <w:sz w:val="20"/>
          <w:szCs w:val="20"/>
        </w:rPr>
        <w:t>investments</w:t>
      </w:r>
      <w:r>
        <w:rPr>
          <w:rFonts w:ascii="Century Gothic" w:hAnsi="Century Gothic"/>
          <w:sz w:val="20"/>
          <w:szCs w:val="20"/>
        </w:rPr>
        <w:t xml:space="preserve"> in </w:t>
      </w:r>
      <w:r>
        <w:rPr>
          <w:rFonts w:ascii="Century Gothic" w:hAnsi="Century Gothic"/>
          <w:sz w:val="20"/>
          <w:szCs w:val="20"/>
        </w:rPr>
        <w:t>developing</w:t>
      </w:r>
      <w:r>
        <w:rPr>
          <w:rFonts w:ascii="Century Gothic" w:hAnsi="Century Gothic"/>
          <w:sz w:val="20"/>
          <w:szCs w:val="20"/>
        </w:rPr>
        <w:t xml:space="preserve"> countries.</w:t>
      </w:r>
      <w:r>
        <w:rPr>
          <w:rFonts w:ascii="Century Gothic" w:hAnsi="Century Gothic"/>
          <w:sz w:val="20"/>
          <w:szCs w:val="20"/>
        </w:rPr>
        <w:tab/>
      </w:r>
    </w:p>
    <w:p>
      <w:pPr>
        <w:pStyle w:val="style157"/>
        <w:ind w:left="7200"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(16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7.a</w:t>
      </w:r>
      <w:r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 xml:space="preserve">istinguish between </w:t>
      </w:r>
      <w:r>
        <w:rPr>
          <w:rFonts w:ascii="Century Gothic" w:hAnsi="Century Gothic"/>
          <w:b/>
          <w:sz w:val="20"/>
          <w:szCs w:val="20"/>
        </w:rPr>
        <w:t>structural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unemployment</w:t>
      </w:r>
      <w:r>
        <w:rPr>
          <w:rFonts w:ascii="Century Gothic" w:hAnsi="Century Gothic"/>
          <w:sz w:val="20"/>
          <w:szCs w:val="20"/>
        </w:rPr>
        <w:t xml:space="preserve"> and </w:t>
      </w:r>
      <w:r>
        <w:rPr>
          <w:rFonts w:ascii="Century Gothic" w:hAnsi="Century Gothic"/>
          <w:b/>
          <w:sz w:val="20"/>
          <w:szCs w:val="20"/>
        </w:rPr>
        <w:t>disguised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unemployment</w:t>
      </w:r>
      <w:r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(04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b.)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 xml:space="preserve">hat are the causes of disguised </w:t>
      </w:r>
      <w:r>
        <w:rPr>
          <w:rFonts w:ascii="Century Gothic" w:hAnsi="Century Gothic"/>
          <w:sz w:val="20"/>
          <w:szCs w:val="20"/>
        </w:rPr>
        <w:t>unemployment</w:t>
      </w:r>
      <w:r>
        <w:rPr>
          <w:rFonts w:ascii="Century Gothic" w:hAnsi="Century Gothic"/>
          <w:sz w:val="20"/>
          <w:szCs w:val="20"/>
        </w:rPr>
        <w:t xml:space="preserve"> in the developing </w:t>
      </w:r>
      <w:r>
        <w:rPr>
          <w:rFonts w:ascii="Century Gothic" w:hAnsi="Century Gothic"/>
          <w:sz w:val="20"/>
          <w:szCs w:val="20"/>
        </w:rPr>
        <w:t>countries</w:t>
      </w:r>
      <w:r>
        <w:rPr>
          <w:rFonts w:ascii="Century Gothic" w:hAnsi="Century Gothic"/>
          <w:sz w:val="20"/>
          <w:szCs w:val="20"/>
        </w:rPr>
        <w:t>?</w:t>
      </w:r>
      <w:r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16 marks)</w:t>
      </w:r>
    </w:p>
    <w:p>
      <w:pPr>
        <w:pStyle w:val="style157"/>
        <w:rPr>
          <w:rFonts w:ascii="Century Gothic" w:hAnsi="Century Gothic"/>
          <w:sz w:val="20"/>
          <w:szCs w:val="20"/>
        </w:rPr>
      </w:pPr>
    </w:p>
    <w:p>
      <w:pPr>
        <w:pStyle w:val="style157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END</w:t>
      </w:r>
    </w:p>
    <w:sectPr>
      <w:pgSz w:w="12240" w:h="15840" w:orient="portrait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00000000" w:usb2="00000000" w:usb3="00000000" w:csb0="000001FF" w:csb1="00000000"/>
  </w:font>
  <w:font w:name="Bell MT">
    <w:altName w:val="Bell MT"/>
    <w:panose1 w:val="02020503060003020303"/>
    <w:charset w:val="00"/>
    <w:family w:val="roman"/>
    <w:pitch w:val="variable"/>
    <w:sig w:usb0="00000003" w:usb1="00000000" w:usb2="00000000" w:usb3="00000000" w:csb0="00000001" w:csb1="00000000"/>
  </w:font>
  <w:font w:name="T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440</Words>
  <Pages>2</Pages>
  <Characters>2330</Characters>
  <Application>WPS Office</Application>
  <DocSecurity>0</DocSecurity>
  <Paragraphs>104</Paragraphs>
  <ScaleCrop>false</ScaleCrop>
  <LinksUpToDate>false</LinksUpToDate>
  <CharactersWithSpaces>2752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2019-04-14T10:49:37Z</dcterms:created>
  <dc:creator>ROMASA</dc:creator>
  <lastModifiedBy>itel S13</lastModifiedBy>
  <dcterms:modified xsi:type="dcterms:W3CDTF">2019-04-14T10:49:37Z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